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-3"/>
          <w:sz w:val="33"/>
          <w:szCs w:val="33"/>
        </w:rPr>
        <w:t xml:space="preserve">            安徽艺术学院</w:t>
      </w:r>
      <w:r>
        <w:rPr>
          <w:rFonts w:hint="eastAsia" w:ascii="宋体" w:hAnsi="宋体" w:eastAsia="宋体" w:cs="宋体"/>
          <w:b/>
          <w:bCs/>
          <w:spacing w:val="-3"/>
          <w:sz w:val="33"/>
          <w:szCs w:val="33"/>
          <w:lang w:val="en-US" w:eastAsia="zh-CN"/>
        </w:rPr>
        <w:t>财务</w:t>
      </w:r>
      <w:r>
        <w:rPr>
          <w:rFonts w:hint="eastAsia" w:ascii="宋体" w:hAnsi="宋体" w:eastAsia="宋体" w:cs="宋体"/>
          <w:b/>
          <w:bCs/>
          <w:spacing w:val="-3"/>
          <w:sz w:val="33"/>
          <w:szCs w:val="33"/>
        </w:rPr>
        <w:t>报销</w:t>
      </w:r>
      <w:r>
        <w:rPr>
          <w:rFonts w:hint="eastAsia" w:ascii="宋体" w:hAnsi="宋体" w:eastAsia="宋体" w:cs="宋体"/>
          <w:b/>
          <w:bCs/>
          <w:spacing w:val="-3"/>
          <w:sz w:val="33"/>
          <w:szCs w:val="33"/>
          <w:lang w:val="en-US" w:eastAsia="zh-CN"/>
        </w:rPr>
        <w:t>指南（修订）</w:t>
      </w:r>
      <w:r>
        <w:rPr>
          <w:rFonts w:hint="eastAsia" w:ascii="宋体" w:hAnsi="宋体" w:eastAsia="宋体" w:cs="宋体"/>
          <w:b/>
          <w:bCs/>
          <w:spacing w:val="-3"/>
          <w:sz w:val="33"/>
          <w:szCs w:val="33"/>
        </w:rPr>
        <w:t xml:space="preserve">       </w:t>
      </w:r>
    </w:p>
    <w:p>
      <w:pPr>
        <w:shd w:val="clear" w:color="auto" w:fill="FFFFFF"/>
        <w:kinsoku/>
        <w:autoSpaceDE/>
        <w:autoSpaceDN/>
        <w:adjustRightInd/>
        <w:snapToGrid/>
        <w:spacing w:line="420" w:lineRule="exact"/>
        <w:ind w:left="31" w:leftChars="15" w:firstLine="241" w:firstLineChars="100"/>
        <w:textAlignment w:val="auto"/>
        <w:rPr>
          <w:rFonts w:asciiTheme="minorEastAsia" w:hAnsiTheme="minorEastAsia" w:eastAsiaTheme="minorEastAsia" w:cstheme="minorEastAsia"/>
          <w:color w:val="32323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23232"/>
          <w:sz w:val="24"/>
          <w:szCs w:val="24"/>
          <w:shd w:val="clear" w:color="auto" w:fill="FFFFFF"/>
        </w:rPr>
        <w:t>一、开票信息</w:t>
      </w:r>
      <w:r>
        <w:rPr>
          <w:rFonts w:hint="eastAsia" w:asciiTheme="minorEastAsia" w:hAnsiTheme="minorEastAsia" w:eastAsiaTheme="minorEastAsia" w:cstheme="minorEastAsia"/>
          <w:color w:val="323232"/>
          <w:sz w:val="24"/>
          <w:szCs w:val="24"/>
          <w:shd w:val="clear" w:color="auto" w:fill="FFFFFF"/>
        </w:rPr>
        <w:t>：客户名称：安徽艺术学院；纳税人识别号：12340000MB1M99946F；开户行：中国农业银行合肥庐阳区支行；账号：12082001040031162。</w:t>
      </w:r>
    </w:p>
    <w:p>
      <w:pPr>
        <w:shd w:val="clear" w:color="auto" w:fill="FFFFFF"/>
        <w:kinsoku/>
        <w:autoSpaceDE/>
        <w:autoSpaceDN/>
        <w:adjustRightInd/>
        <w:snapToGrid/>
        <w:spacing w:line="420" w:lineRule="exact"/>
        <w:ind w:left="31" w:leftChars="15" w:firstLine="241" w:firstLineChars="100"/>
        <w:textAlignment w:val="auto"/>
        <w:rPr>
          <w:rFonts w:asciiTheme="minorEastAsia" w:hAnsiTheme="minorEastAsia" w:eastAsiaTheme="minorEastAsia" w:cstheme="minorEastAsia"/>
          <w:b/>
          <w:bCs/>
          <w:color w:val="32323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23232"/>
          <w:sz w:val="24"/>
          <w:szCs w:val="24"/>
          <w:shd w:val="clear" w:color="auto" w:fill="FFFFFF"/>
        </w:rPr>
        <w:t>二、票据报销特别提示</w:t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1、从外单位取得的报销单据必须是合法票据（印有财政或税务监制章）</w:t>
      </w:r>
      <w:r>
        <w:rPr>
          <w:rFonts w:asciiTheme="minorEastAsia" w:hAnsiTheme="minorEastAsia" w:eastAsiaTheme="minorEastAsia" w:cstheme="minorEastAsia"/>
          <w:spacing w:val="-4"/>
          <w:sz w:val="24"/>
          <w:szCs w:val="24"/>
        </w:rPr>
        <w:t>,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内容必须据实填写完整</w:t>
      </w:r>
      <w:r>
        <w:rPr>
          <w:rFonts w:asciiTheme="minorEastAsia" w:hAnsiTheme="minorEastAsia" w:eastAsiaTheme="minorEastAsia" w:cstheme="minorEastAsia"/>
          <w:spacing w:val="-4"/>
          <w:sz w:val="24"/>
          <w:szCs w:val="24"/>
        </w:rPr>
        <w:t>,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包括：客户名称、纳税人识别号、开票日期、物品名称或费用内容、数量、单价及金额（金额大小写须一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致）。票据付款单位名称(俗称抬头) 应为“安徽艺术学院”，不得开具为个人(火车票、飞机票等实名制的票据除外)或其他单位。一式几联的发票，必须一次套打完成，同时加盖出票单位的财务专用章或发票专用章。仅盖有单位公章的票据无效，原则上不予报销。</w:t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2、票据的内容必须根据实际发生的经济事项填开，票据内容如为“办公用品、文具、工具、图书资料”等，同时提供出票单位加盖印章的明细表或购物清单作为附件。票据内容不具体、不明确的，必须提供明细表或购物清。</w:t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、发票查验。经办人员办理报销手续之前，为确保本人所提供的票据真实合法，请自行登录有关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税务网站进行发票真伪查验， 确认为真实合法的票据， 方可办理报销手续。凡因使用假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发票带来的一切后果，将由发票使用人自行承担。</w:t>
      </w:r>
    </w:p>
    <w:p>
      <w:pPr>
        <w:spacing w:before="2" w:line="420" w:lineRule="exact"/>
        <w:ind w:right="5" w:firstLine="349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4、票据记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载的各项内容均不得涂改、挖补。票据内容如有错误的，应由出具单位重开或者更正，更正处必须加盖出具单位公章；金额记载有错误的，应由出具单位重开，不得在原票据上更正。</w:t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5、按照会计核算及时性原则，当年票据须在当年报销。票据的日期必须在经济事项发生的合理期限内，特殊情况最多延长至次年的3月31日之前（使用公务卡结算的请在还款到期前一周办理报销)，过期票据原则不予报销(读博期间学费、公派出国期间票据不在此列)。</w:t>
      </w:r>
    </w:p>
    <w:p>
      <w:pPr>
        <w:shd w:val="clear" w:color="auto" w:fill="FFFFFF"/>
        <w:kinsoku/>
        <w:autoSpaceDE/>
        <w:autoSpaceDN/>
        <w:adjustRightInd/>
        <w:snapToGrid/>
        <w:spacing w:line="420" w:lineRule="exact"/>
        <w:ind w:left="31" w:leftChars="15" w:firstLine="241" w:firstLineChars="100"/>
        <w:textAlignment w:val="auto"/>
        <w:rPr>
          <w:rFonts w:asciiTheme="minorEastAsia" w:hAnsiTheme="minorEastAsia" w:eastAsiaTheme="minorEastAsia" w:cstheme="minorEastAsia"/>
          <w:b/>
          <w:bCs/>
          <w:color w:val="32323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23232"/>
          <w:sz w:val="24"/>
          <w:szCs w:val="24"/>
          <w:shd w:val="clear" w:color="auto" w:fill="FFFFFF"/>
        </w:rPr>
        <w:t>三、 报销基本要求</w:t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1、网上报销。自主登录用友U8网上报销系统，按要求逐项分类规范填写，审批环节到“财务收票”，打印报销封面并附上原始单据送至财务处。签批请用黑色墨水笔签字，不得使用铅笔或蓝色等其他笔签字。费用报销原则上实行“一事一报”。报销封面金额不得涂改。</w:t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2、票据粘贴。原始单据需按业务分类粘贴，将原始凭证呈鱼鳞状从左向右粘贴在原始凭证整理单方框内,票据较少可平铺粘贴。为便于会计凭证规范存档，原始票据切勿使用订书针装订。（原始凭证整理单可在财务处官网下载）</w:t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票据粘贴要求</w:t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189865</wp:posOffset>
            </wp:positionV>
            <wp:extent cx="5124450" cy="5800090"/>
            <wp:effectExtent l="0" t="0" r="0" b="10160"/>
            <wp:wrapSquare wrapText="bothSides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80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" w:line="420" w:lineRule="exact"/>
        <w:ind w:right="5" w:firstLine="349"/>
        <w:rPr>
          <w:rFonts w:asciiTheme="minorEastAsia" w:hAnsiTheme="minorEastAsia" w:eastAsiaTheme="minorEastAsia" w:cstheme="minorEastAsia"/>
          <w:spacing w:val="-4"/>
          <w:sz w:val="24"/>
          <w:szCs w:val="24"/>
        </w:rPr>
      </w:pPr>
    </w:p>
    <w:p>
      <w:pPr>
        <w:spacing w:before="2" w:line="420" w:lineRule="exact"/>
        <w:ind w:right="5" w:firstLine="349"/>
      </w:pPr>
    </w:p>
    <w:p>
      <w:pPr>
        <w:spacing w:before="2" w:line="420" w:lineRule="exact"/>
        <w:ind w:right="5" w:firstLine="349"/>
        <w:rPr>
          <w:rFonts w:eastAsia="宋体"/>
        </w:rPr>
      </w:pPr>
    </w:p>
    <w:p>
      <w:pPr>
        <w:spacing w:before="2" w:line="420" w:lineRule="exact"/>
        <w:ind w:right="5" w:firstLine="349"/>
        <w:rPr>
          <w:rFonts w:eastAsia="宋体"/>
        </w:rPr>
      </w:pPr>
    </w:p>
    <w:p>
      <w:pPr>
        <w:spacing w:before="2" w:line="420" w:lineRule="exact"/>
        <w:ind w:right="5" w:firstLine="349"/>
        <w:rPr>
          <w:rFonts w:eastAsia="宋体"/>
        </w:rPr>
      </w:pPr>
    </w:p>
    <w:p>
      <w:pPr>
        <w:spacing w:before="2" w:line="420" w:lineRule="exact"/>
        <w:ind w:right="5" w:firstLine="349"/>
        <w:rPr>
          <w:rFonts w:eastAsia="宋体"/>
        </w:rPr>
      </w:pPr>
    </w:p>
    <w:p>
      <w:pPr>
        <w:spacing w:before="2" w:line="420" w:lineRule="exact"/>
        <w:ind w:right="5" w:firstLine="349"/>
        <w:rPr>
          <w:rFonts w:eastAsia="宋体"/>
        </w:rPr>
      </w:pPr>
    </w:p>
    <w:p>
      <w:pPr>
        <w:spacing w:before="2" w:line="420" w:lineRule="exact"/>
        <w:ind w:right="5" w:firstLine="349"/>
        <w:rPr>
          <w:rFonts w:eastAsia="宋体"/>
        </w:rPr>
      </w:pPr>
    </w:p>
    <w:tbl>
      <w:tblPr>
        <w:tblStyle w:val="4"/>
        <w:tblpPr w:leftFromText="180" w:rightFromText="180" w:vertAnchor="text" w:horzAnchor="page" w:tblpX="1658" w:tblpY="175"/>
        <w:tblOverlap w:val="never"/>
        <w:tblW w:w="91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250"/>
        <w:gridCol w:w="4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extAlignment w:val="top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textAlignment w:val="top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附件1: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经费审批权限一览表</w:t>
            </w:r>
          </w:p>
          <w:p>
            <w:pPr>
              <w:textAlignment w:val="top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审批人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各行政部门办公经费及其归口管理的经费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10000元以下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10000元(含)至50000元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各部门负责人、分管校领导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50000元(含)至100000元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各部门负责人、分管校领导、分管财务校领导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100000元(含)以上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各部门负责人、分管校领导、分管财务校领导、校长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教学部门办公、业务费、教学经费、学术活动经费等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10000元以下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10000元(含)至50000元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单位负责人、分管校领导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50000元(含)至100000元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单位负责人、分管校领导、分管财务校领导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100000元(含)以上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院系负责人、分管校领导、分管财务校领导、校长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教科研人才项目经费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5000元以下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项目负责人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6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5000(含)～10000元以下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项目归口部门负责人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10000元(含)至50000元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项目归口部门负责人、分管校领导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50000元(含)至100000元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项目归口部门负责人、分管校领导、分管财务校领导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100000元(含)以上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项目归口部门负责人、分管校领导、分管财务校领导、校长</w:t>
            </w:r>
          </w:p>
        </w:tc>
      </w:tr>
    </w:tbl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5" w:line="219" w:lineRule="auto"/>
        <w:ind w:left="13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附件2:</w:t>
      </w:r>
      <w:r>
        <w:rPr>
          <w:rFonts w:hint="eastAsia" w:ascii="宋体" w:hAnsi="宋体" w:eastAsia="宋体" w:cs="宋体"/>
          <w:b/>
          <w:bCs/>
          <w:spacing w:val="-3"/>
          <w:sz w:val="33"/>
          <w:szCs w:val="33"/>
        </w:rPr>
        <w:t xml:space="preserve">       </w:t>
      </w: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省级预算单位公务卡强制结算目录</w:t>
      </w:r>
    </w:p>
    <w:p>
      <w:pPr>
        <w:spacing w:line="216" w:lineRule="exact"/>
      </w:pPr>
    </w:p>
    <w:tbl>
      <w:tblPr>
        <w:tblStyle w:val="7"/>
        <w:tblW w:w="9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609"/>
        <w:gridCol w:w="639"/>
        <w:gridCol w:w="2128"/>
        <w:gridCol w:w="5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4" w:type="dxa"/>
            <w:vMerge w:val="restart"/>
            <w:tcBorders>
              <w:bottom w:val="nil"/>
            </w:tcBorders>
          </w:tcPr>
          <w:p>
            <w:pPr>
              <w:spacing w:line="336" w:lineRule="auto"/>
            </w:pPr>
          </w:p>
          <w:p>
            <w:pPr>
              <w:spacing w:before="78" w:line="221" w:lineRule="auto"/>
              <w:ind w:lef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48" w:type="dxa"/>
            <w:gridSpan w:val="2"/>
          </w:tcPr>
          <w:p>
            <w:pPr>
              <w:spacing w:before="83" w:line="238" w:lineRule="auto"/>
              <w:ind w:left="261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政府收支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科目编码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>
            <w:pPr>
              <w:spacing w:line="331" w:lineRule="auto"/>
            </w:pPr>
          </w:p>
          <w:p>
            <w:pPr>
              <w:spacing w:before="78" w:line="219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公务卡结算项目</w:t>
            </w:r>
          </w:p>
        </w:tc>
        <w:tc>
          <w:tcPr>
            <w:tcW w:w="5340" w:type="dxa"/>
            <w:vMerge w:val="restart"/>
            <w:tcBorders>
              <w:bottom w:val="nil"/>
            </w:tcBorders>
          </w:tcPr>
          <w:p>
            <w:pPr>
              <w:spacing w:line="332" w:lineRule="auto"/>
            </w:pPr>
          </w:p>
          <w:p>
            <w:pPr>
              <w:spacing w:before="78" w:line="221" w:lineRule="auto"/>
              <w:ind w:left="2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54" w:type="dxa"/>
            <w:vMerge w:val="continue"/>
            <w:tcBorders>
              <w:top w:val="nil"/>
            </w:tcBorders>
          </w:tcPr>
          <w:p/>
        </w:tc>
        <w:tc>
          <w:tcPr>
            <w:tcW w:w="609" w:type="dxa"/>
          </w:tcPr>
          <w:p>
            <w:pPr>
              <w:spacing w:before="60" w:line="219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类</w:t>
            </w:r>
          </w:p>
        </w:tc>
        <w:tc>
          <w:tcPr>
            <w:tcW w:w="639" w:type="dxa"/>
          </w:tcPr>
          <w:p>
            <w:pPr>
              <w:spacing w:before="62" w:line="221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款</w:t>
            </w:r>
          </w:p>
        </w:tc>
        <w:tc>
          <w:tcPr>
            <w:tcW w:w="2128" w:type="dxa"/>
            <w:vMerge w:val="continue"/>
            <w:tcBorders>
              <w:top w:val="nil"/>
            </w:tcBorders>
          </w:tcPr>
          <w:p/>
        </w:tc>
        <w:tc>
          <w:tcPr>
            <w:tcW w:w="5340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54" w:type="dxa"/>
          </w:tcPr>
          <w:p>
            <w:pPr>
              <w:spacing w:before="311" w:line="184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>
            <w:pPr>
              <w:spacing w:before="312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311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01</w:t>
            </w:r>
          </w:p>
        </w:tc>
        <w:tc>
          <w:tcPr>
            <w:tcW w:w="2128" w:type="dxa"/>
          </w:tcPr>
          <w:p>
            <w:pPr>
              <w:spacing w:before="251" w:line="219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办公费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指单位购买按财务会计制度规定不符合固定资 产确认标准的日常办公用品、书报杂志等支出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4" w:type="dxa"/>
          </w:tcPr>
          <w:p>
            <w:pPr>
              <w:spacing w:before="192" w:line="183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>
            <w:pPr>
              <w:spacing w:before="192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192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02</w:t>
            </w:r>
          </w:p>
        </w:tc>
        <w:tc>
          <w:tcPr>
            <w:tcW w:w="2128" w:type="dxa"/>
          </w:tcPr>
          <w:p>
            <w:pPr>
              <w:spacing w:before="131" w:line="219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印刷费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指单位的印刷费支出。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4" w:type="dxa"/>
          </w:tcPr>
          <w:p>
            <w:pPr>
              <w:spacing w:before="202" w:line="183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>
            <w:pPr>
              <w:spacing w:before="202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202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03</w:t>
            </w:r>
          </w:p>
        </w:tc>
        <w:tc>
          <w:tcPr>
            <w:tcW w:w="2128" w:type="dxa"/>
          </w:tcPr>
          <w:p>
            <w:pPr>
              <w:spacing w:before="141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咨询费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指单位咨询方面的支出。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4" w:type="dxa"/>
          </w:tcPr>
          <w:p>
            <w:pPr>
              <w:spacing w:before="192" w:line="183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09" w:type="dxa"/>
          </w:tcPr>
          <w:p>
            <w:pPr>
              <w:spacing w:before="192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192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04</w:t>
            </w:r>
          </w:p>
        </w:tc>
        <w:tc>
          <w:tcPr>
            <w:tcW w:w="2128" w:type="dxa"/>
          </w:tcPr>
          <w:p>
            <w:pPr>
              <w:spacing w:before="131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手续费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指单位支付的手续费支出。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4" w:type="dxa"/>
          </w:tcPr>
          <w:p>
            <w:pPr>
              <w:spacing w:before="194" w:line="182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>
            <w:pPr>
              <w:spacing w:before="192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192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05</w:t>
            </w:r>
          </w:p>
        </w:tc>
        <w:tc>
          <w:tcPr>
            <w:tcW w:w="2128" w:type="dxa"/>
          </w:tcPr>
          <w:p>
            <w:pPr>
              <w:spacing w:before="131" w:line="219" w:lineRule="auto"/>
              <w:ind w:left="8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水费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指单位支付的水费支出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54" w:type="dxa"/>
          </w:tcPr>
          <w:p>
            <w:pPr>
              <w:spacing w:before="193" w:line="183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09" w:type="dxa"/>
          </w:tcPr>
          <w:p>
            <w:pPr>
              <w:spacing w:before="193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193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06</w:t>
            </w:r>
          </w:p>
        </w:tc>
        <w:tc>
          <w:tcPr>
            <w:tcW w:w="2128" w:type="dxa"/>
          </w:tcPr>
          <w:p>
            <w:pPr>
              <w:spacing w:before="132" w:line="220" w:lineRule="auto"/>
              <w:ind w:left="8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电费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指单位支付的电费支出。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4" w:type="dxa"/>
          </w:tcPr>
          <w:p>
            <w:pPr>
              <w:spacing w:before="255" w:line="182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>
            <w:pPr>
              <w:spacing w:before="253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253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07</w:t>
            </w:r>
          </w:p>
        </w:tc>
        <w:tc>
          <w:tcPr>
            <w:tcW w:w="2128" w:type="dxa"/>
          </w:tcPr>
          <w:p>
            <w:pPr>
              <w:spacing w:before="192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邮电费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指单位开支的电话费、电报费、传真费、网络通 讯费等支出。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54" w:type="dxa"/>
          </w:tcPr>
          <w:p>
            <w:pPr>
              <w:spacing w:line="333" w:lineRule="auto"/>
            </w:pPr>
          </w:p>
          <w:p>
            <w:pPr>
              <w:spacing w:before="78" w:line="183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>
            <w:pPr>
              <w:spacing w:line="333" w:lineRule="auto"/>
            </w:pPr>
          </w:p>
          <w:p>
            <w:pPr>
              <w:spacing w:before="78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line="333" w:lineRule="auto"/>
            </w:pPr>
          </w:p>
          <w:p>
            <w:pPr>
              <w:spacing w:before="78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09</w:t>
            </w:r>
          </w:p>
        </w:tc>
        <w:tc>
          <w:tcPr>
            <w:tcW w:w="2128" w:type="dxa"/>
          </w:tcPr>
          <w:p>
            <w:pPr>
              <w:spacing w:line="272" w:lineRule="auto"/>
            </w:pPr>
          </w:p>
          <w:p>
            <w:pPr>
              <w:spacing w:before="78" w:line="219" w:lineRule="auto"/>
              <w:ind w:left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物业管理费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指单位开支的办公用房、职工及离退休人员宿舍 等的物业管理费，包括综合治理、绿化、卫生等 方面的支出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54" w:type="dxa"/>
          </w:tcPr>
          <w:p>
            <w:pPr>
              <w:spacing w:before="254" w:line="183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>
            <w:pPr>
              <w:spacing w:before="254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253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>
            <w:pPr>
              <w:spacing w:before="193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差旅费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指单位工作人员因出差支付的住宿费、购买机票 支出等。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54" w:type="dxa"/>
          </w:tcPr>
          <w:p>
            <w:pPr>
              <w:spacing w:line="334" w:lineRule="auto"/>
            </w:pPr>
          </w:p>
          <w:p>
            <w:pPr>
              <w:spacing w:before="78" w:line="184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>
            <w:pPr>
              <w:spacing w:line="335" w:lineRule="auto"/>
            </w:pPr>
          </w:p>
          <w:p>
            <w:pPr>
              <w:spacing w:before="78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line="334" w:lineRule="auto"/>
            </w:pPr>
          </w:p>
          <w:p>
            <w:pPr>
              <w:spacing w:before="78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2128" w:type="dxa"/>
          </w:tcPr>
          <w:p>
            <w:pPr>
              <w:spacing w:line="274" w:lineRule="auto"/>
            </w:pPr>
          </w:p>
          <w:p>
            <w:pPr>
              <w:spacing w:before="78" w:line="219" w:lineRule="auto"/>
              <w:ind w:left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维修(护)费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指单位日常开支的固定资产(不包括车船等交通 工具)修理和维护费用，网络信息系统运行与维 护费用。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54" w:type="dxa"/>
          </w:tcPr>
          <w:p>
            <w:pPr>
              <w:spacing w:before="255" w:line="184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609" w:type="dxa"/>
          </w:tcPr>
          <w:p>
            <w:pPr>
              <w:spacing w:before="256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255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2128" w:type="dxa"/>
          </w:tcPr>
          <w:p>
            <w:pPr>
              <w:spacing w:before="195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租赁费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指租赁办公用房、宿舍、专用通讯网以及其他设 备等方面的费用。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54" w:type="dxa"/>
          </w:tcPr>
          <w:p>
            <w:pPr>
              <w:spacing w:before="256" w:line="184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609" w:type="dxa"/>
          </w:tcPr>
          <w:p>
            <w:pPr>
              <w:spacing w:before="257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256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2128" w:type="dxa"/>
          </w:tcPr>
          <w:p>
            <w:pPr>
              <w:spacing w:before="194" w:line="219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会议费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指会议中按规定开支的房租费、伙食补助费以及 文件资料的印刷费、会议场地租用费等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54" w:type="dxa"/>
          </w:tcPr>
          <w:p>
            <w:pPr>
              <w:spacing w:before="167" w:line="184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609" w:type="dxa"/>
          </w:tcPr>
          <w:p>
            <w:pPr>
              <w:spacing w:before="168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167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2128" w:type="dxa"/>
          </w:tcPr>
          <w:p>
            <w:pPr>
              <w:spacing w:before="107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培训费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指各类培训支出。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4" w:type="dxa"/>
          </w:tcPr>
          <w:p>
            <w:pPr>
              <w:spacing w:before="267" w:line="184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609" w:type="dxa"/>
          </w:tcPr>
          <w:p>
            <w:pPr>
              <w:spacing w:before="268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267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2128" w:type="dxa"/>
          </w:tcPr>
          <w:p>
            <w:pPr>
              <w:spacing w:before="207" w:line="219" w:lineRule="auto"/>
              <w:ind w:left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公务接待费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指单位按规定开支的各类公务接待(含外宾接 待)费用。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654" w:type="dxa"/>
          </w:tcPr>
          <w:p>
            <w:pPr>
              <w:spacing w:line="322" w:lineRule="auto"/>
            </w:pPr>
          </w:p>
          <w:p>
            <w:pPr>
              <w:spacing w:line="323" w:lineRule="auto"/>
            </w:pPr>
          </w:p>
          <w:p>
            <w:pPr>
              <w:spacing w:before="78" w:line="184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609" w:type="dxa"/>
          </w:tcPr>
          <w:p>
            <w:pPr>
              <w:spacing w:line="323" w:lineRule="auto"/>
            </w:pPr>
          </w:p>
          <w:p>
            <w:pPr>
              <w:spacing w:line="323" w:lineRule="auto"/>
            </w:pPr>
          </w:p>
          <w:p>
            <w:pPr>
              <w:spacing w:before="78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line="322" w:lineRule="auto"/>
            </w:pPr>
          </w:p>
          <w:p>
            <w:pPr>
              <w:spacing w:line="323" w:lineRule="auto"/>
            </w:pPr>
          </w:p>
          <w:p>
            <w:pPr>
              <w:spacing w:before="78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2128" w:type="dxa"/>
          </w:tcPr>
          <w:p>
            <w:pPr>
              <w:spacing w:line="291" w:lineRule="auto"/>
            </w:pPr>
          </w:p>
          <w:p>
            <w:pPr>
              <w:spacing w:line="292" w:lineRule="auto"/>
            </w:pPr>
          </w:p>
          <w:p>
            <w:pPr>
              <w:spacing w:before="78" w:line="219" w:lineRule="auto"/>
              <w:ind w:left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专用材料费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指单位购买日常专用材料的支出。具体包括药品 及医疗耗材，农用材料，兽医用品，实验室用品； 专用服装，消耗性体育用品，专用工具和仪器   艺术部门专用材料和用品，广播电视台发射台发  射机的电力、材料等方面的支出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4" w:type="dxa"/>
          </w:tcPr>
          <w:p>
            <w:pPr>
              <w:spacing w:before="268" w:line="184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609" w:type="dxa"/>
          </w:tcPr>
          <w:p>
            <w:pPr>
              <w:spacing w:before="269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before="268" w:line="184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2128" w:type="dxa"/>
          </w:tcPr>
          <w:p>
            <w:pPr>
              <w:spacing w:before="46" w:line="224" w:lineRule="auto"/>
              <w:ind w:left="692" w:right="332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公务用车运行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维护费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指公务用车的燃料费、维修费、保险费等支出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54" w:type="dxa"/>
          </w:tcPr>
          <w:p>
            <w:pPr>
              <w:spacing w:line="349" w:lineRule="auto"/>
            </w:pPr>
          </w:p>
          <w:p>
            <w:pPr>
              <w:spacing w:before="78" w:line="184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609" w:type="dxa"/>
          </w:tcPr>
          <w:p>
            <w:pPr>
              <w:spacing w:line="350" w:lineRule="auto"/>
            </w:pPr>
          </w:p>
          <w:p>
            <w:pPr>
              <w:spacing w:before="78" w:line="183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302</w:t>
            </w:r>
          </w:p>
        </w:tc>
        <w:tc>
          <w:tcPr>
            <w:tcW w:w="639" w:type="dxa"/>
          </w:tcPr>
          <w:p>
            <w:pPr>
              <w:spacing w:line="350" w:lineRule="auto"/>
            </w:pPr>
          </w:p>
          <w:p>
            <w:pPr>
              <w:spacing w:before="78" w:line="183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2128" w:type="dxa"/>
          </w:tcPr>
          <w:p>
            <w:pPr>
              <w:spacing w:line="289" w:lineRule="auto"/>
            </w:pPr>
          </w:p>
          <w:p>
            <w:pPr>
              <w:spacing w:before="78" w:line="220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其他交通费用</w:t>
            </w:r>
          </w:p>
        </w:tc>
        <w:tc>
          <w:tcPr>
            <w:tcW w:w="5340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指单位除公务用车运行维护费以外的其他交遥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通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费用。如飞机、船舶等的燃料费、维修费、保险费等 。</w:t>
            </w:r>
          </w:p>
        </w:tc>
      </w:tr>
    </w:tbl>
    <w:p/>
    <w:p>
      <w:pPr>
        <w:spacing w:before="67" w:line="219" w:lineRule="auto"/>
        <w:ind w:left="159"/>
        <w:rPr>
          <w:rFonts w:ascii="宋体" w:hAnsi="宋体" w:eastAsia="宋体" w:cs="宋体"/>
          <w:b/>
          <w:bCs/>
          <w:spacing w:val="-3"/>
          <w:sz w:val="33"/>
          <w:szCs w:val="33"/>
        </w:rPr>
      </w:pPr>
    </w:p>
    <w:p>
      <w:pPr>
        <w:spacing w:before="67" w:line="219" w:lineRule="auto"/>
        <w:ind w:left="159"/>
        <w:rPr>
          <w:rFonts w:hint="default" w:ascii="宋体" w:hAnsi="宋体" w:eastAsia="宋体" w:cs="宋体"/>
          <w:b/>
          <w:bCs/>
          <w:spacing w:val="-3"/>
          <w:sz w:val="33"/>
          <w:szCs w:val="33"/>
          <w:lang w:val="en-US" w:eastAsia="zh-CN"/>
        </w:rPr>
      </w:pP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附件3</w:t>
      </w:r>
      <w:r>
        <w:rPr>
          <w:rFonts w:ascii="宋体" w:hAnsi="宋体" w:eastAsia="宋体" w:cs="宋体"/>
          <w:b/>
          <w:bCs/>
          <w:spacing w:val="1"/>
          <w:sz w:val="34"/>
          <w:szCs w:val="34"/>
        </w:rPr>
        <w:t>:</w:t>
      </w:r>
      <w:r>
        <w:rPr>
          <w:rFonts w:hint="eastAsia" w:ascii="宋体" w:hAnsi="宋体" w:eastAsia="宋体" w:cs="宋体"/>
          <w:b/>
          <w:bCs/>
          <w:spacing w:val="1"/>
          <w:sz w:val="34"/>
          <w:szCs w:val="34"/>
        </w:rPr>
        <w:t xml:space="preserve">             </w:t>
      </w: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财务报销</w:t>
      </w:r>
      <w:r>
        <w:rPr>
          <w:rFonts w:hint="eastAsia" w:ascii="宋体" w:hAnsi="宋体" w:eastAsia="宋体" w:cs="宋体"/>
          <w:b/>
          <w:bCs/>
          <w:spacing w:val="-3"/>
          <w:sz w:val="33"/>
          <w:szCs w:val="33"/>
          <w:lang w:val="en-US" w:eastAsia="zh-CN"/>
        </w:rPr>
        <w:t>材料清单</w:t>
      </w:r>
    </w:p>
    <w:p>
      <w:pPr>
        <w:spacing w:line="64" w:lineRule="exact"/>
      </w:pPr>
    </w:p>
    <w:tbl>
      <w:tblPr>
        <w:tblStyle w:val="7"/>
        <w:tblW w:w="10266" w:type="dxa"/>
        <w:tblInd w:w="-3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"/>
        <w:gridCol w:w="469"/>
        <w:gridCol w:w="11"/>
        <w:gridCol w:w="1778"/>
        <w:gridCol w:w="5739"/>
        <w:gridCol w:w="2085"/>
        <w:gridCol w:w="53"/>
        <w:gridCol w:w="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649" w:hRule="atLeast"/>
        </w:trPr>
        <w:tc>
          <w:tcPr>
            <w:tcW w:w="469" w:type="dxa"/>
            <w:vAlign w:val="center"/>
          </w:tcPr>
          <w:p>
            <w:pPr>
              <w:spacing w:before="78" w:line="18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78" w:line="255" w:lineRule="auto"/>
              <w:ind w:right="1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3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需提交材料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spacing w:before="13" w:line="220" w:lineRule="auto"/>
              <w:ind w:left="56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0"/>
                <w:sz w:val="24"/>
                <w:szCs w:val="24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2377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办公用品、 图书资料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2.明细清单(加盖销售方印章)或订单明细(网购)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3.票据真伪查验结果(单张或连号发票金额≥1000元)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4.物品验收单（单价≥1千元、批量≥1万元的图书需图书馆备案)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5.公务卡支付记录(对公转账无需提供)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6.相关协议；备案合同(经济事项金额≥3万元的，提供备案合同；3万以下自行采购的项目，提供供应商出具的供货或服务承诺函)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复印纸、零星家具须办理采购手续，遵照学校最新采购要求执行。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1761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专用材料耗材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2.明细清单(加盖销售方印章)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3.票据真伪查验结果(单张或连号发票金额≥1000元) 4.物品验收单（单价或总额达到资产入库条件的需提供入库单）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5.公务卡支付记录(对公转账无需提供)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6.相关协议；备案合同(经济事项金额≥3万元的，提供备案合同；3万以下自行采购的项目，提供供应商出具的供货或服务承诺函)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2308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固定资产</w:t>
            </w: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(设备购置)无形资产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2.明细清单(加盖销售方印章)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3.票据真伪查验结果(单张或连号发票金额≥1000元)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4.国有资产入库单(单价≥1000元进行固定资产或无形资产入库)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5.公务卡支付记录(对公转账无需提供)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6.相关协议；备案合同(经济事项金额≥3万元的，提供备案合同；3万以下自行采购的项目，提供供应商出具的供货或服务承诺函)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打印机、复印机、计算机、空调、碎纸机、液晶显示器等须 政府集中采购的，不可自行购买(按最新年度政府集中采购目 录及标准执行)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1983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印刷制作服务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2.明细清单(加盖销售方印章)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3.票据真伪查验结果(单张或连号发票金额≥1000元) 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4.物品验收单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5.公务卡支付记录(对公转账无需提供)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6.相关协议；备案合同(经济事项金额≥3万元的，提供备案合同；3万以下自行采购的项目，提供供应商出具的供货或服务承诺函)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644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邮寄费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1.发票原件与运单明细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2.公务卡支付记录(对公转账无需提供)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3.票据真伪查验结果(单张或连号发票金额≥1000元)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90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办公电话、网络、通讯、检索、查新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2.公务卡刷卡记录(对公转账无需提供)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3.检索或查询事项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滞纳金不予报销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2528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教职工、学生</w:t>
            </w: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等活动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2.票据真伪查验结果(单张或连号发票金额≥1000元) 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3.物品验收单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4.活动方案、新闻稿等能说明活动开展情况的材料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5.领用表或发放人员名单（加盖单位公章）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6.公务卡支付记录(对公转账无需提供)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7.相关协议；备案合同(经济事项金额≥3万元的，提供备案合同；3万以下自行采购的项目，提供供应商出具的供货或服务承诺函)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3118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艺术实践活动（学生实习、艺术展演、比赛、写生等）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2.明细清单(加盖销售方印章)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3.票据真伪查验结果(单张或连号发票金额≥1000元) 4.服务协议(金额≥2万元需备案，不涉及相关服务的实习实践活动可以不提供)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5.参与人员名单(加盖部门公章)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6.活动方案、新闻稿等能说明活动开展情况的材料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7.学生补贴发放表（含补贴标准、天数）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8.公务卡支付记录(对公转账无需提供)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9.指导老师按照教学计划计算课时费；其他教辅人员因工作需要随行的，按照差旅费管理办法发放补贴。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购买车辆租赁服务的，遵照学校最新采购要求执行。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2517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9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版面费、出版费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2.票据真伪查验结果(单张或连号发票金额≥1000元)  3.用稿通知或缴费通知，文章首页(尚未发表可不提供) 国内版面费报销附用稿通知；境外版面（注册）费报销，需提供境外的版面费发票（Invoice等）及支付凭证、交易当日汇率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4.出版合同（非出版物无需提供）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5.公务卡支付记录或杂志社仅接受邮局汇款支付证明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20" w:type="dxa"/>
          <w:trHeight w:val="90" w:hRule="atLeast"/>
        </w:trPr>
        <w:tc>
          <w:tcPr>
            <w:tcW w:w="469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10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差旅费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1.安徽艺术学院差旅费报销审批单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2.会议通知、培训通知、邀请函等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3.城市间交通发票原件，包括不限于飞机票(行程单和登机牌)、火车票、长途汽车票等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4.住宿费发票原件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5.住宿费结算清单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6.会议费或培训费发票原件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7.票据真伪查验结果(单张或连号发票金额≥1000元)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8.公务卡支付记录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9.购买低价机票的需提供比价说明。</w:t>
            </w:r>
          </w:p>
        </w:tc>
        <w:tc>
          <w:tcPr>
            <w:tcW w:w="2138" w:type="dxa"/>
            <w:gridSpan w:val="2"/>
          </w:tcPr>
          <w:p>
            <w:pPr>
              <w:spacing w:before="49" w:line="228" w:lineRule="auto"/>
              <w:ind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遵照《安徽艺术学院差旅费管理办法》(院政(2020)38号) 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3" w:type="dxa"/>
          <w:trHeight w:val="4672" w:hRule="atLeast"/>
        </w:trPr>
        <w:tc>
          <w:tcPr>
            <w:tcW w:w="491" w:type="dxa"/>
            <w:gridSpan w:val="3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11</w:t>
            </w:r>
          </w:p>
        </w:tc>
        <w:tc>
          <w:tcPr>
            <w:tcW w:w="1778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因公出国(境)</w:t>
            </w: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费用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往返机票、签证手续费、住宿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、保险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费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发票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2、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出国批件原件 (由省政府批准的，还需附上省政府出国批件原件)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登机牌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4、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行程表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5、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会议通知、邀请函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6、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建议提供换汇水单、中国银行外汇牌价截图 (按汇率中间价折算) 或者信用卡还款记录截图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7、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国际交流与合作处提供的伙食公杂补助单。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"/>
              <w:ind w:right="90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【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特别提示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】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：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(1) 国内机票：须提供加盖中国民航发票专用章的“航空运输电子客票行程单”；国际机票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①境内购买须提供加盖收款单位财务专用章的“国际航空旅客运输专用发票”。 ②境外购买须提供电子行程单。</w:t>
            </w:r>
          </w:p>
          <w:p>
            <w:pPr>
              <w:spacing w:before="1"/>
              <w:ind w:left="3" w:right="75" w:firstLine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(2) 参团方式履行出国任务的， 还需提供①在外费用发票及费用详细清单； ②往返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机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票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复印件)和登机牌；③参团签订的合同或协议。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(3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出国人员超标准发生的住宿费用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超标准部分自理。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(4)外文单据请简单翻译主要信息。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(5)住宿费，需提供住宿发票或者国外票据，住宿明细单 (包含天数、人数、单价)</w:t>
            </w:r>
          </w:p>
        </w:tc>
        <w:tc>
          <w:tcPr>
            <w:tcW w:w="2085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遵照《安徽省省直党政机关因公临时出国经费管理办法》(财行(2014〕104号)、《安徽省省直党政机关因公短期出国培训费用管理办法》(财行（2014〕527号)、《财政部 外交部关于调整因公临时出国住宿费标准等有关事项的通知》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(财行（2017）434号)执行。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3" w:type="dxa"/>
          <w:trHeight w:val="3124" w:hRule="atLeast"/>
        </w:trPr>
        <w:tc>
          <w:tcPr>
            <w:tcW w:w="491" w:type="dxa"/>
            <w:gridSpan w:val="3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12</w:t>
            </w:r>
          </w:p>
        </w:tc>
        <w:tc>
          <w:tcPr>
            <w:tcW w:w="1778" w:type="dxa"/>
            <w:vAlign w:val="center"/>
          </w:tcPr>
          <w:p>
            <w:pPr>
              <w:spacing w:before="49" w:line="228" w:lineRule="auto"/>
              <w:ind w:left="95" w:right="2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会议费或培训费</w:t>
            </w:r>
          </w:p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（举办）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1.会议审批表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2.会议或培训(会议)通知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3.会议议程安排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4.参会或培训人员签到表（如无法提供签到表，可提供参会人员名单、所在单位及联系方式）、会议工作人员名单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5.发票原件以及会议餐饮住宿等费用原始明细清单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6.公务卡支付记录(对公转账无需提供)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7.票据真伪查验结果(单张或连号发票金额≥1000元)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8．会议合同或协议及相关支撑材料</w:t>
            </w:r>
          </w:p>
        </w:tc>
        <w:tc>
          <w:tcPr>
            <w:tcW w:w="2085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参照学校及《安徽省省直机关会议费管理办法》(财行〔2017〕1736 号执行。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3" w:type="dxa"/>
          <w:trHeight w:val="2173" w:hRule="atLeast"/>
        </w:trPr>
        <w:tc>
          <w:tcPr>
            <w:tcW w:w="491" w:type="dxa"/>
            <w:gridSpan w:val="3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13</w:t>
            </w:r>
          </w:p>
        </w:tc>
        <w:tc>
          <w:tcPr>
            <w:tcW w:w="1778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工作餐</w:t>
            </w: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2.就餐人员名单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3.票据真伪查验结果(单张或连号发票金额≥1000元)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4.《安徽艺术学院工作餐审批表》(“ 一事一餐一单”)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5.公务卡支付记录(对公转账无需提供)</w:t>
            </w:r>
          </w:p>
        </w:tc>
        <w:tc>
          <w:tcPr>
            <w:tcW w:w="2085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遵照《安徽艺术学院国内公务接待费管理办法》(院政(2022) 30号)执行。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3" w:type="dxa"/>
          <w:trHeight w:val="2575" w:hRule="atLeast"/>
        </w:trPr>
        <w:tc>
          <w:tcPr>
            <w:tcW w:w="491" w:type="dxa"/>
            <w:gridSpan w:val="3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14</w:t>
            </w:r>
          </w:p>
        </w:tc>
        <w:tc>
          <w:tcPr>
            <w:tcW w:w="1778" w:type="dxa"/>
            <w:vAlign w:val="center"/>
          </w:tcPr>
          <w:p>
            <w:pPr>
              <w:spacing w:before="49" w:line="228" w:lineRule="auto"/>
              <w:ind w:left="95" w:right="2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公务接待费</w:t>
            </w:r>
          </w:p>
          <w:p>
            <w:pPr>
              <w:spacing w:before="49" w:line="228" w:lineRule="auto"/>
              <w:ind w:left="95" w:right="2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  <w:tc>
          <w:tcPr>
            <w:tcW w:w="5739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1.发票原件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2.原始菜单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3.派出单位公函(包括邀请函、工作联系函、会议通知等)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4.票据真伪查验结果(单张或连号发票金额≥1000元)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5. 《安徽艺术学院公务接待用餐审批表》(“一事一餐一单”)</w:t>
            </w: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6.公务卡支付记录(对公转账无需提供)</w:t>
            </w:r>
          </w:p>
        </w:tc>
        <w:tc>
          <w:tcPr>
            <w:tcW w:w="2085" w:type="dxa"/>
          </w:tcPr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49" w:line="228" w:lineRule="auto"/>
              <w:ind w:left="95" w:right="2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遵照《安徽艺术学院国内公务接待费管理办法》(院政(2022) 30号)执行。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维修维护费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1.发票原件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2.票据真伪查验结果(单张或连号发票金额≥1000元)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3.材料销售清单(加盖销售方印章)，并签字验收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4.工作量及材料耗费结算清单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5.公务卡支付记录(对公转账无需提供)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6.相关协议；备案合同(经济事项金额≥3万元的，提供备案合同；3万以下自行采购的项目，提供供应商出具的供货或服务承诺函)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7、维修工程验收报告、审计报告。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房屋改建、扩建、装饰及大型维修等环境提升，需向国有资产管理处申报，由学校统一组织实施并结算，教学经费不得开支此类费用。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委托业务费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1.发票原件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2.票据真伪查验结果(单张或连号发票金额≥1000元)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3.销售清单(加盖销售方印章)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4.公务卡支付记录(对公转账无需提供)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5.相关协议；备案合同(经济事项金额≥3万元的，提供备案合同；3万以下自行采购的项目，提供供应商出具的供货或服务承诺函)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7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校内人员值班费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需提交材料：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1.安徽艺术学院校内人员费用发放表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2.值班安排表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8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校内人员劳务费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1.校内人员劳务费发放表，需负责人审签或加盖部门公章(明确时间、发放事由、发放标准)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2.能说明情况的相关支撑材料(包括但不限于发文、通知、新闻稿、专家签到表等)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按学校最新规定执行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9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校外人员劳务费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1.安徽艺术学院校外人员费用发放（模板可在财务处官网下载）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2.能说明情况的相关材料，需负责人审签或加盖部门公章(明确时间、发放事由、发放标准)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3.专家讲座劳务费另需提供“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instrText xml:space="preserve"> HYPERLINK "http://www.ahua.edu.cn/_upload/article/files/7a/ca/60adbe15493eb913372e60404c77/161f1f5f-4ac4-41b5-8f37-9bade39d4778.docx" \t "http://www.ahua.edu.cn/kyc/161/_blank" \o "安徽艺术学院学术报告（讲座）申请表" </w:instrTex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安徽艺术学院学术报告（讲座）申请表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”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学生奖助学金及劳务费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1.安徽艺术学院学生费用发放表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依据有关规定发放给学生的奖助学金及劳务性费用，须注明发放时间、事由、标准和金额等相关支撑材料，并按规定履行审批手续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市内交通费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需提交材料：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1.发票原件(合肥市出租汽车通用机打发票、电子普通发票与行程单、市内公共交通定额发票等)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2.支付记录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"/>
              <w:ind w:left="13" w:right="90" w:firstLine="475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租赁费</w:t>
            </w:r>
          </w:p>
          <w:p>
            <w:pPr>
              <w:spacing w:before="2"/>
              <w:ind w:right="90"/>
              <w:jc w:val="both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（房屋、场地、设施、服装等）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需提交材料：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1.发票原件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2.票据真伪查验结果(单张或连号发票金额≥1000元)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3.租车审批单、派车单；其他设施及物品清单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4.公务卡支付记录(对公转账无需提供)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5.相关协议；备案合同(经济事项金额≥3万元的，提供备案合同；3万以下自行采购的项目，提供供应商出具的供货或服务承诺函)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遵照学校最新采购要求执行。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政府采购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需提交材料：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1.发票原件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2.票据真伪查验结果(单张或连号发票金额≥1000元)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3.验收报告原件(若合同并未约定验收则无需提供)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4.资产入库单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5.备案合同原件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遵照《安徽艺术学院采购管理办法(试行)》(院政〔2020) 134号)执行和最新年度政府集中采购目录及标准执行。因采购金额较大，须由校内教职工工作人员经办。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基建工程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1.发票原件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2.合同或相关补充协议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3.经审核确认的月工程进度款支付报告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4.付款结算申请单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5.工程结算审计报告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6.验收报告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遵照《安徽艺术学院基本建设管理办法》(院政〔2020〕144 号)执行。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480" w:type="dxa"/>
            <w:gridSpan w:val="2"/>
            <w:vAlign w:val="center"/>
          </w:tcPr>
          <w:p>
            <w:pPr>
              <w:spacing w:before="2"/>
              <w:ind w:left="13" w:right="90" w:firstLine="475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before="2"/>
              <w:ind w:right="9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物业管理费</w:t>
            </w:r>
          </w:p>
          <w:p>
            <w:pPr>
              <w:spacing w:before="2"/>
              <w:ind w:right="90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（电梯运行、绿化养护、环卫保洁、安保等）</w:t>
            </w:r>
          </w:p>
        </w:tc>
        <w:tc>
          <w:tcPr>
            <w:tcW w:w="5739" w:type="dxa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1.发票原件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2.票据真伪查验结果(单张或连号发票金额≥1000元)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3.销售清单(加盖服务方印章)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4.验收或评价报告</w:t>
            </w:r>
          </w:p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5.相关协议；备案合同(经济事项金额≥3万元的，提供备案合同；3万以下自行采购的项目，提供供应商出具的供货或服务承诺函)</w:t>
            </w:r>
          </w:p>
        </w:tc>
        <w:tc>
          <w:tcPr>
            <w:tcW w:w="2258" w:type="dxa"/>
            <w:gridSpan w:val="3"/>
          </w:tcPr>
          <w:p>
            <w:pPr>
              <w:spacing w:before="2"/>
              <w:ind w:left="13" w:right="90" w:firstLine="475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</w:tr>
    </w:tbl>
    <w:p>
      <w:pPr>
        <w:spacing w:before="2"/>
        <w:ind w:left="13" w:right="90" w:firstLine="475"/>
        <w:rPr>
          <w:rFonts w:ascii="宋体" w:hAnsi="宋体" w:eastAsia="宋体" w:cs="宋体"/>
          <w:spacing w:val="-6"/>
          <w:sz w:val="24"/>
          <w:szCs w:val="24"/>
        </w:rPr>
      </w:pPr>
    </w:p>
    <w:sectPr>
      <w:footerReference r:id="rId3" w:type="default"/>
      <w:pgSz w:w="11900" w:h="16820"/>
      <w:pgMar w:top="1064" w:right="1584" w:bottom="1521" w:left="1475" w:header="0" w:footer="13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7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6"/>
        <w:sz w:val="20"/>
        <w:szCs w:val="20"/>
      </w:rPr>
      <w:t>—</w:t>
    </w:r>
    <w:r>
      <w:rPr>
        <w:rFonts w:ascii="宋体" w:hAnsi="宋体" w:eastAsia="宋体" w:cs="宋体"/>
        <w:spacing w:val="-23"/>
        <w:w w:val="99"/>
        <w:sz w:val="20"/>
        <w:szCs w:val="20"/>
      </w:rPr>
      <w:t>18—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4Y2Y3ZmNiMTM0ZTBjNDY4NDBhNzMzYzQzNjIyNDIifQ=="/>
  </w:docVars>
  <w:rsids>
    <w:rsidRoot w:val="00203102"/>
    <w:rsid w:val="00000927"/>
    <w:rsid w:val="00020C24"/>
    <w:rsid w:val="000351CE"/>
    <w:rsid w:val="00054329"/>
    <w:rsid w:val="00092F4B"/>
    <w:rsid w:val="00093E09"/>
    <w:rsid w:val="000C24F5"/>
    <w:rsid w:val="000C7CED"/>
    <w:rsid w:val="000F3104"/>
    <w:rsid w:val="00104575"/>
    <w:rsid w:val="0011601F"/>
    <w:rsid w:val="00120FC2"/>
    <w:rsid w:val="0012592E"/>
    <w:rsid w:val="00135135"/>
    <w:rsid w:val="00166B15"/>
    <w:rsid w:val="00167552"/>
    <w:rsid w:val="001D327A"/>
    <w:rsid w:val="001D6D70"/>
    <w:rsid w:val="001F7512"/>
    <w:rsid w:val="002006FE"/>
    <w:rsid w:val="00203102"/>
    <w:rsid w:val="002A297D"/>
    <w:rsid w:val="002C57FE"/>
    <w:rsid w:val="002D1BB6"/>
    <w:rsid w:val="0032357E"/>
    <w:rsid w:val="00345609"/>
    <w:rsid w:val="0035290B"/>
    <w:rsid w:val="003954A0"/>
    <w:rsid w:val="003A5B3D"/>
    <w:rsid w:val="003C435A"/>
    <w:rsid w:val="003C699C"/>
    <w:rsid w:val="003E32FA"/>
    <w:rsid w:val="004017B8"/>
    <w:rsid w:val="00404AC4"/>
    <w:rsid w:val="004427CC"/>
    <w:rsid w:val="004528A7"/>
    <w:rsid w:val="004A6C16"/>
    <w:rsid w:val="004D2DD4"/>
    <w:rsid w:val="00500E5C"/>
    <w:rsid w:val="00502799"/>
    <w:rsid w:val="00542590"/>
    <w:rsid w:val="00565F41"/>
    <w:rsid w:val="00572A48"/>
    <w:rsid w:val="00587138"/>
    <w:rsid w:val="005C1E86"/>
    <w:rsid w:val="005C693F"/>
    <w:rsid w:val="005D6D5E"/>
    <w:rsid w:val="006271E7"/>
    <w:rsid w:val="00645EE5"/>
    <w:rsid w:val="00656B20"/>
    <w:rsid w:val="0066359F"/>
    <w:rsid w:val="006853E9"/>
    <w:rsid w:val="00691DD8"/>
    <w:rsid w:val="006B729B"/>
    <w:rsid w:val="006C1940"/>
    <w:rsid w:val="006C3C23"/>
    <w:rsid w:val="006C491C"/>
    <w:rsid w:val="006D4DC3"/>
    <w:rsid w:val="006F31F1"/>
    <w:rsid w:val="00706636"/>
    <w:rsid w:val="00742A48"/>
    <w:rsid w:val="00746935"/>
    <w:rsid w:val="007705A5"/>
    <w:rsid w:val="00770780"/>
    <w:rsid w:val="00786B3E"/>
    <w:rsid w:val="007A754D"/>
    <w:rsid w:val="007C6802"/>
    <w:rsid w:val="007D1E7D"/>
    <w:rsid w:val="00805D67"/>
    <w:rsid w:val="00814EDE"/>
    <w:rsid w:val="00831C6A"/>
    <w:rsid w:val="008556D5"/>
    <w:rsid w:val="008873D2"/>
    <w:rsid w:val="008948E7"/>
    <w:rsid w:val="00897AE8"/>
    <w:rsid w:val="008A1966"/>
    <w:rsid w:val="008A5769"/>
    <w:rsid w:val="008C48EC"/>
    <w:rsid w:val="008E7CCB"/>
    <w:rsid w:val="008F14B2"/>
    <w:rsid w:val="009521F6"/>
    <w:rsid w:val="009A03F4"/>
    <w:rsid w:val="009A11B3"/>
    <w:rsid w:val="009A1D89"/>
    <w:rsid w:val="009D0A80"/>
    <w:rsid w:val="009E29BF"/>
    <w:rsid w:val="00A05458"/>
    <w:rsid w:val="00A27E39"/>
    <w:rsid w:val="00A434B5"/>
    <w:rsid w:val="00A45F2D"/>
    <w:rsid w:val="00A66555"/>
    <w:rsid w:val="00AD1E37"/>
    <w:rsid w:val="00AE22F6"/>
    <w:rsid w:val="00B059E9"/>
    <w:rsid w:val="00B44967"/>
    <w:rsid w:val="00BA1ABE"/>
    <w:rsid w:val="00BD4A11"/>
    <w:rsid w:val="00BE4DC4"/>
    <w:rsid w:val="00C05DFF"/>
    <w:rsid w:val="00C53582"/>
    <w:rsid w:val="00C836DB"/>
    <w:rsid w:val="00C9772A"/>
    <w:rsid w:val="00CD01E2"/>
    <w:rsid w:val="00CF2345"/>
    <w:rsid w:val="00D046B8"/>
    <w:rsid w:val="00D31385"/>
    <w:rsid w:val="00D34384"/>
    <w:rsid w:val="00D67960"/>
    <w:rsid w:val="00D72774"/>
    <w:rsid w:val="00D74981"/>
    <w:rsid w:val="00DC609A"/>
    <w:rsid w:val="00DE5A25"/>
    <w:rsid w:val="00DF664C"/>
    <w:rsid w:val="00E25105"/>
    <w:rsid w:val="00E425B6"/>
    <w:rsid w:val="00E42DEE"/>
    <w:rsid w:val="00E4601E"/>
    <w:rsid w:val="00E57FE7"/>
    <w:rsid w:val="00E91EBE"/>
    <w:rsid w:val="00EB30B3"/>
    <w:rsid w:val="00EB3C1A"/>
    <w:rsid w:val="00EE27EB"/>
    <w:rsid w:val="00EF6F92"/>
    <w:rsid w:val="00F057D3"/>
    <w:rsid w:val="00F10783"/>
    <w:rsid w:val="00F1192B"/>
    <w:rsid w:val="00F50B49"/>
    <w:rsid w:val="00F62A02"/>
    <w:rsid w:val="00F74F06"/>
    <w:rsid w:val="00F774FC"/>
    <w:rsid w:val="00F818AA"/>
    <w:rsid w:val="00F830AD"/>
    <w:rsid w:val="00FB0228"/>
    <w:rsid w:val="00FF2A8A"/>
    <w:rsid w:val="024C5C84"/>
    <w:rsid w:val="02BC5ACD"/>
    <w:rsid w:val="03604B36"/>
    <w:rsid w:val="03726617"/>
    <w:rsid w:val="058B111D"/>
    <w:rsid w:val="07AC013B"/>
    <w:rsid w:val="089A4BE4"/>
    <w:rsid w:val="08DB07BA"/>
    <w:rsid w:val="096B5FE2"/>
    <w:rsid w:val="09D724F3"/>
    <w:rsid w:val="0B4C6EF1"/>
    <w:rsid w:val="0C3E79DE"/>
    <w:rsid w:val="0D690A8B"/>
    <w:rsid w:val="0DDB2B91"/>
    <w:rsid w:val="0DE63026"/>
    <w:rsid w:val="0F5F1243"/>
    <w:rsid w:val="0FA91113"/>
    <w:rsid w:val="11365128"/>
    <w:rsid w:val="123416DD"/>
    <w:rsid w:val="132C233E"/>
    <w:rsid w:val="14EF358A"/>
    <w:rsid w:val="16B12D2F"/>
    <w:rsid w:val="18117D55"/>
    <w:rsid w:val="181F06C4"/>
    <w:rsid w:val="18C82B09"/>
    <w:rsid w:val="18CB74D3"/>
    <w:rsid w:val="18D51F3C"/>
    <w:rsid w:val="1CB14C93"/>
    <w:rsid w:val="1D452C75"/>
    <w:rsid w:val="22113972"/>
    <w:rsid w:val="225149FA"/>
    <w:rsid w:val="22E72820"/>
    <w:rsid w:val="23580154"/>
    <w:rsid w:val="248E73BE"/>
    <w:rsid w:val="24F87988"/>
    <w:rsid w:val="24FD02BA"/>
    <w:rsid w:val="256B07CE"/>
    <w:rsid w:val="26520498"/>
    <w:rsid w:val="26A83C1C"/>
    <w:rsid w:val="29EB682A"/>
    <w:rsid w:val="2A6A2C93"/>
    <w:rsid w:val="2C4937BB"/>
    <w:rsid w:val="2C506C10"/>
    <w:rsid w:val="2C7F752B"/>
    <w:rsid w:val="2CC501A5"/>
    <w:rsid w:val="2F4A52E3"/>
    <w:rsid w:val="301F34FF"/>
    <w:rsid w:val="30EF1355"/>
    <w:rsid w:val="3131565D"/>
    <w:rsid w:val="318C4BC4"/>
    <w:rsid w:val="31B71515"/>
    <w:rsid w:val="32966211"/>
    <w:rsid w:val="334D6771"/>
    <w:rsid w:val="335618CC"/>
    <w:rsid w:val="34C76E8F"/>
    <w:rsid w:val="356B2D42"/>
    <w:rsid w:val="36BE52BB"/>
    <w:rsid w:val="36F87247"/>
    <w:rsid w:val="38D14947"/>
    <w:rsid w:val="39294B38"/>
    <w:rsid w:val="3A7F57CF"/>
    <w:rsid w:val="3A8D75F2"/>
    <w:rsid w:val="3C6837BC"/>
    <w:rsid w:val="3E2F6B99"/>
    <w:rsid w:val="3EDD6E27"/>
    <w:rsid w:val="400649BE"/>
    <w:rsid w:val="40864ED4"/>
    <w:rsid w:val="408C3BE8"/>
    <w:rsid w:val="41CD4835"/>
    <w:rsid w:val="423E37F0"/>
    <w:rsid w:val="42D21605"/>
    <w:rsid w:val="42E303A5"/>
    <w:rsid w:val="43212C92"/>
    <w:rsid w:val="436B2D7A"/>
    <w:rsid w:val="438D1A08"/>
    <w:rsid w:val="464413AD"/>
    <w:rsid w:val="46E666CD"/>
    <w:rsid w:val="4743627F"/>
    <w:rsid w:val="480F1EC9"/>
    <w:rsid w:val="4819662E"/>
    <w:rsid w:val="4B1B7521"/>
    <w:rsid w:val="4BA66A46"/>
    <w:rsid w:val="4C551346"/>
    <w:rsid w:val="4D04404A"/>
    <w:rsid w:val="4D700B97"/>
    <w:rsid w:val="4E7121C4"/>
    <w:rsid w:val="4E992F9E"/>
    <w:rsid w:val="4F242932"/>
    <w:rsid w:val="4FF978EB"/>
    <w:rsid w:val="506E69ED"/>
    <w:rsid w:val="513230A6"/>
    <w:rsid w:val="525C3CE7"/>
    <w:rsid w:val="52FB6353"/>
    <w:rsid w:val="544D1731"/>
    <w:rsid w:val="54BB2F47"/>
    <w:rsid w:val="561641AD"/>
    <w:rsid w:val="572C012C"/>
    <w:rsid w:val="57386F28"/>
    <w:rsid w:val="589D7F5F"/>
    <w:rsid w:val="58C374E3"/>
    <w:rsid w:val="59562C6C"/>
    <w:rsid w:val="5BC55495"/>
    <w:rsid w:val="5BF070B0"/>
    <w:rsid w:val="5BF907F8"/>
    <w:rsid w:val="5E026C2D"/>
    <w:rsid w:val="5F174E1F"/>
    <w:rsid w:val="60C11D50"/>
    <w:rsid w:val="61531351"/>
    <w:rsid w:val="64B53530"/>
    <w:rsid w:val="64D466F8"/>
    <w:rsid w:val="656211BC"/>
    <w:rsid w:val="65842EE1"/>
    <w:rsid w:val="670A3721"/>
    <w:rsid w:val="671648CE"/>
    <w:rsid w:val="6736645D"/>
    <w:rsid w:val="6A9E2DD7"/>
    <w:rsid w:val="6AD16387"/>
    <w:rsid w:val="6ECE5CE2"/>
    <w:rsid w:val="708B0FAC"/>
    <w:rsid w:val="71A83AA9"/>
    <w:rsid w:val="723730D7"/>
    <w:rsid w:val="72402885"/>
    <w:rsid w:val="734A5A74"/>
    <w:rsid w:val="73B57F06"/>
    <w:rsid w:val="741B7106"/>
    <w:rsid w:val="743F2EEC"/>
    <w:rsid w:val="761B6308"/>
    <w:rsid w:val="764D3DBC"/>
    <w:rsid w:val="772444B9"/>
    <w:rsid w:val="77251E0C"/>
    <w:rsid w:val="77617526"/>
    <w:rsid w:val="77D13608"/>
    <w:rsid w:val="784A3A84"/>
    <w:rsid w:val="788A0506"/>
    <w:rsid w:val="7AA47B27"/>
    <w:rsid w:val="7AA828BB"/>
    <w:rsid w:val="7AE364A4"/>
    <w:rsid w:val="7B947605"/>
    <w:rsid w:val="7C2E1319"/>
    <w:rsid w:val="7C3832A0"/>
    <w:rsid w:val="7C4E5CF5"/>
    <w:rsid w:val="7D3140B5"/>
    <w:rsid w:val="7D781125"/>
    <w:rsid w:val="7E076D1D"/>
    <w:rsid w:val="7EE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font31"/>
    <w:basedOn w:val="5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21"/>
    <w:basedOn w:val="5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14">
    <w:name w:val="font41"/>
    <w:basedOn w:val="5"/>
    <w:qFormat/>
    <w:uiPriority w:val="0"/>
    <w:rPr>
      <w:rFonts w:hint="default"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DCF5-BC7C-4871-9C5A-08A3AF065C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5712</Words>
  <Characters>6164</Characters>
  <Lines>49</Lines>
  <Paragraphs>14</Paragraphs>
  <TotalTime>5</TotalTime>
  <ScaleCrop>false</ScaleCrop>
  <LinksUpToDate>false</LinksUpToDate>
  <CharactersWithSpaces>6281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2023-04-13T15:34:00Z</dcterms:created>
  <dc:creator>Kingsoft-PDF</dc:creator>
  <cp:lastModifiedBy>闲云野鹤</cp:lastModifiedBy>
  <dcterms:modified xsi:type="dcterms:W3CDTF">2023-06-27T02:18:37Z</dcterms:modified>
  <dc:subject>pdfbuilder</dc:subject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2023-04-13T15:34:18Z</vt:filetime>
  </property>
  <property fmtid="{D5CDD505-2E9C-101B-9397-08002B2CF9AE}" pid="4" name="UsrData">
    <vt:lpwstr>6437b06b0c8b29001523276b</vt:lpwstr>
  </property>
  <property fmtid="{D5CDD505-2E9C-101B-9397-08002B2CF9AE}" pid="5" name="KSOProductBuildVer">
    <vt:lpwstr>2052-11.1.0.14309</vt:lpwstr>
  </property>
  <property fmtid="{D5CDD505-2E9C-101B-9397-08002B2CF9AE}" pid="6" name="ICV">
    <vt:lpwstr>1F3EBA6888DC453DA42635CDF6975F80_13</vt:lpwstr>
  </property>
</Properties>
</file>