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：</w:t>
      </w:r>
    </w:p>
    <w:p>
      <w:pPr>
        <w:widowControl/>
        <w:jc w:val="center"/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201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val="en-US" w:eastAsia="zh-CN"/>
        </w:rPr>
        <w:t>6</w:t>
      </w: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-201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val="en-US" w:eastAsia="zh-CN"/>
        </w:rPr>
        <w:t>7</w:t>
      </w: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学年第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val="en-US" w:eastAsia="zh-CN"/>
        </w:rPr>
        <w:t>一</w:t>
      </w: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学期期中教学检查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</w:rPr>
        <w:t>课堂教学检查安排表</w:t>
      </w:r>
    </w:p>
    <w:tbl>
      <w:tblPr>
        <w:tblStyle w:val="3"/>
        <w:tblpPr w:leftFromText="180" w:rightFromText="180" w:vertAnchor="text" w:horzAnchor="page" w:tblpX="1021" w:tblpY="394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701"/>
        <w:gridCol w:w="609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节次与地点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检查人员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随机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张  晶、胡献平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秘书：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>候昌松</w:t>
            </w:r>
          </w:p>
        </w:tc>
        <w:tc>
          <w:tcPr>
            <w:tcW w:w="3544" w:type="dxa"/>
            <w:vMerge w:val="restart"/>
            <w:vAlign w:val="top"/>
          </w:tcPr>
          <w:p>
            <w:pPr>
              <w:widowControl/>
              <w:ind w:firstLine="560" w:firstLineChars="200"/>
              <w:rPr>
                <w:rFonts w:hint="eastAsia" w:ascii="仿宋_GB2312" w:hAnsi="宋体" w:eastAsia="仿宋_GB2312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检查课堂教学情况，教师教学计划表与教学大纲吻合度；教学计划表与实际授课进度的吻合度；授课进度与教案的吻合度。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433F3F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韩大国、曹晓燕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秘书：陈昀岚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433F3F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赵枞安、黄永飞   秘书：鲍建军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午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周爱宝、陈静宇   秘书：曹野平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包鹏程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阚峻岭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 秘书：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>青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备注：1.教师授课时请务必携带教案、授课计划表和教学大纲；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 xml:space="preserve">      2.秘书负责提醒专家听课时间、准备专家听课表及汇总专家意见。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64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2016-10-25T07:40:23Z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