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bookmarkStart w:id="0" w:name="_GoBack"/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安徽省第六届大学生艺术展演活动</w:t>
      </w:r>
    </w:p>
    <w:p>
      <w:pPr>
        <w:spacing w:afterLines="50" w:line="560" w:lineRule="exact"/>
        <w:jc w:val="center"/>
        <w:rPr>
          <w:rFonts w:cs="方正小标宋_GBK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kern w:val="0"/>
          <w:sz w:val="44"/>
          <w:szCs w:val="44"/>
        </w:rPr>
        <w:t>高校美育改革创新优秀案例申报书</w:t>
      </w:r>
      <w:bookmarkEnd w:id="0"/>
    </w:p>
    <w:p>
      <w:pPr>
        <w:spacing w:line="300" w:lineRule="auto"/>
        <w:rPr>
          <w:rFonts w:cs="仿宋_GB2312" w:asciiTheme="majorEastAsia" w:hAnsiTheme="majorEastAsia" w:eastAsiaTheme="majorEastAsia"/>
          <w:bCs/>
          <w:sz w:val="44"/>
          <w:szCs w:val="44"/>
        </w:rPr>
      </w:pPr>
    </w:p>
    <w:p>
      <w:pPr>
        <w:spacing w:line="300" w:lineRule="auto"/>
        <w:rPr>
          <w:rFonts w:ascii="方正小标宋简体" w:hAnsi="华文中宋" w:eastAsia="方正小标宋简体" w:cs="Courier New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（学校盖章）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案例代码</w:t>
            </w:r>
          </w:p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（见后附说明）</w:t>
            </w:r>
          </w:p>
        </w:tc>
        <w:tc>
          <w:tcPr>
            <w:tcW w:w="6896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2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280" w:lineRule="exact"/>
              <w:ind w:firstLine="480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  <w:tc>
          <w:tcPr>
            <w:tcW w:w="6896" w:type="dxa"/>
            <w:vAlign w:val="center"/>
          </w:tcPr>
          <w:p>
            <w:pPr>
              <w:spacing w:line="28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28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5" w:hRule="atLeast"/>
          <w:jc w:val="center"/>
        </w:trPr>
        <w:tc>
          <w:tcPr>
            <w:tcW w:w="193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报送单位</w:t>
            </w:r>
          </w:p>
          <w:p>
            <w:pPr>
              <w:spacing w:line="300" w:lineRule="exact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（请填写全称）</w:t>
            </w:r>
          </w:p>
        </w:tc>
        <w:tc>
          <w:tcPr>
            <w:tcW w:w="6896" w:type="dxa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2" w:hRule="atLeast"/>
          <w:jc w:val="center"/>
        </w:trPr>
        <w:tc>
          <w:tcPr>
            <w:tcW w:w="8834" w:type="dxa"/>
            <w:gridSpan w:val="2"/>
          </w:tcPr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hint="eastAsia" w:ascii="仿宋_GB2312" w:hAnsi="Courier New" w:eastAsia="仿宋_GB2312" w:cs="Courier New"/>
                <w:b/>
                <w:bCs/>
                <w:kern w:val="0"/>
                <w:sz w:val="28"/>
                <w:szCs w:val="28"/>
              </w:rPr>
              <w:t>案例简介</w:t>
            </w:r>
            <w:r>
              <w:rPr>
                <w:rFonts w:hint="eastAsia" w:ascii="仿宋_GB2312" w:hAnsi="Courier New" w:eastAsia="仿宋_GB2312" w:cs="Courier New"/>
                <w:kern w:val="0"/>
                <w:sz w:val="24"/>
              </w:rPr>
              <w:t>（限500字以内，可另附页）</w:t>
            </w: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rPr>
                <w:rFonts w:ascii="仿宋_GB2312" w:hAnsi="Courier New" w:eastAsia="仿宋_GB2312" w:cs="Courier New"/>
                <w:kern w:val="0"/>
                <w:sz w:val="24"/>
              </w:rPr>
            </w:pP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</w:t>
            </w:r>
          </w:p>
          <w:p>
            <w:pPr>
              <w:spacing w:line="300" w:lineRule="auto"/>
              <w:ind w:firstLine="1048" w:firstLineChars="437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                        </w:t>
            </w:r>
          </w:p>
          <w:p>
            <w:pPr>
              <w:spacing w:line="300" w:lineRule="auto"/>
              <w:ind w:firstLine="480"/>
              <w:rPr>
                <w:rFonts w:ascii="仿宋_GB2312" w:hAnsi="Courier New" w:eastAsia="仿宋_GB2312" w:cs="Courier New"/>
                <w:kern w:val="0"/>
                <w:sz w:val="24"/>
              </w:rPr>
            </w:pPr>
            <w:r>
              <w:rPr>
                <w:rFonts w:ascii="仿宋_GB2312" w:hAnsi="Courier New" w:eastAsia="仿宋_GB2312" w:cs="Courier New"/>
                <w:kern w:val="0"/>
                <w:sz w:val="24"/>
              </w:rPr>
              <w:t xml:space="preserve">                                                 </w:t>
            </w:r>
          </w:p>
        </w:tc>
      </w:tr>
    </w:tbl>
    <w:p>
      <w:pPr>
        <w:jc w:val="center"/>
        <w:rPr>
          <w:rFonts w:ascii="方正小标宋简体" w:hAnsi="华文中宋" w:eastAsia="方正小标宋简体" w:cs="Courier New"/>
          <w:b/>
          <w:kern w:val="0"/>
          <w:sz w:val="36"/>
          <w:szCs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linePitch="312" w:charSpace="0"/>
        </w:sectPr>
      </w:pPr>
    </w:p>
    <w:p>
      <w:pPr>
        <w:spacing w:afterLines="50" w:line="560" w:lineRule="exact"/>
        <w:jc w:val="center"/>
        <w:rPr>
          <w:rFonts w:ascii="仿宋" w:hAnsi="仿宋" w:eastAsia="仿宋" w:cs="方正小标宋_GBK"/>
          <w:kern w:val="0"/>
          <w:sz w:val="44"/>
          <w:szCs w:val="44"/>
        </w:rPr>
      </w:pPr>
      <w:r>
        <w:rPr>
          <w:rFonts w:hint="eastAsia" w:ascii="仿宋" w:hAnsi="仿宋" w:eastAsia="仿宋" w:cs="方正小标宋_GBK"/>
          <w:kern w:val="0"/>
          <w:sz w:val="44"/>
          <w:szCs w:val="44"/>
        </w:rPr>
        <w:t>安徽省第六届大学生艺术展演活动</w:t>
      </w:r>
    </w:p>
    <w:p>
      <w:pPr>
        <w:spacing w:afterLines="50" w:line="560" w:lineRule="exact"/>
        <w:jc w:val="center"/>
        <w:rPr>
          <w:rFonts w:ascii="仿宋" w:hAnsi="仿宋" w:eastAsia="仿宋" w:cs="方正小标宋_GBK"/>
          <w:kern w:val="0"/>
          <w:sz w:val="44"/>
          <w:szCs w:val="44"/>
        </w:rPr>
      </w:pPr>
      <w:r>
        <w:rPr>
          <w:rFonts w:hint="eastAsia" w:ascii="仿宋" w:hAnsi="仿宋" w:eastAsia="仿宋" w:cs="方正小标宋_GBK"/>
          <w:kern w:val="0"/>
          <w:sz w:val="44"/>
          <w:szCs w:val="44"/>
        </w:rPr>
        <w:t>高校美育改革创新优秀案例代码说明</w:t>
      </w:r>
    </w:p>
    <w:p>
      <w:pPr>
        <w:spacing w:line="300" w:lineRule="auto"/>
        <w:rPr>
          <w:b/>
          <w:kern w:val="0"/>
        </w:rPr>
      </w:pPr>
    </w:p>
    <w:p>
      <w:pPr>
        <w:spacing w:line="300" w:lineRule="auto"/>
        <w:ind w:firstLine="643" w:firstLineChars="200"/>
        <w:rPr>
          <w:rFonts w:ascii="仿宋" w:hAnsi="仿宋" w:eastAsia="仿宋" w:cs="方正仿宋_GBK"/>
          <w:bCs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kern w:val="0"/>
          <w:sz w:val="32"/>
          <w:szCs w:val="32"/>
        </w:rPr>
        <w:t>1.地区代码</w:t>
      </w:r>
      <w:r>
        <w:rPr>
          <w:rFonts w:hint="eastAsia" w:ascii="仿宋" w:hAnsi="仿宋" w:eastAsia="仿宋" w:cs="方正仿宋_GBK"/>
          <w:bCs/>
          <w:kern w:val="0"/>
          <w:sz w:val="32"/>
          <w:szCs w:val="32"/>
        </w:rPr>
        <w:t>（第1、2位）</w:t>
      </w:r>
    </w:p>
    <w:p>
      <w:pPr>
        <w:spacing w:line="300" w:lineRule="auto"/>
        <w:ind w:firstLine="1881" w:firstLineChars="588"/>
        <w:rPr>
          <w:rFonts w:ascii="仿宋" w:hAnsi="仿宋" w:eastAsia="仿宋" w:cs="方正仿宋_GBK"/>
          <w:bCs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Cs/>
          <w:kern w:val="0"/>
          <w:sz w:val="32"/>
          <w:szCs w:val="32"/>
        </w:rPr>
        <w:t>安徽省：22</w:t>
      </w:r>
    </w:p>
    <w:p>
      <w:pPr>
        <w:spacing w:line="300" w:lineRule="auto"/>
        <w:ind w:firstLine="643" w:firstLineChars="200"/>
        <w:rPr>
          <w:rFonts w:ascii="仿宋" w:hAnsi="仿宋" w:eastAsia="仿宋" w:cs="方正仿宋_GBK"/>
          <w:bCs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b/>
          <w:kern w:val="0"/>
          <w:sz w:val="32"/>
          <w:szCs w:val="32"/>
        </w:rPr>
        <w:t>2.案例类别代码</w:t>
      </w:r>
      <w:r>
        <w:rPr>
          <w:rFonts w:hint="eastAsia" w:ascii="仿宋" w:hAnsi="仿宋" w:eastAsia="仿宋" w:cs="方正仿宋_GBK"/>
          <w:bCs/>
          <w:kern w:val="0"/>
          <w:sz w:val="32"/>
          <w:szCs w:val="32"/>
        </w:rPr>
        <w:t>（第3、4位）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高校美育教师队伍建设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高校公共艺术课程建设与教学改革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高校专业艺术人才培养模式改革创新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高校艺术师范教育教学改革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高校中华优秀传统文化艺术传承创新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高校学生艺术社团及实践工作坊建设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协同育人机制构建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高校校园文化环境育人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5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高校美育服务社会路径及实施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高校美育保障机制构建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5" w:hRule="atLeast"/>
          <w:jc w:val="center"/>
        </w:trPr>
        <w:tc>
          <w:tcPr>
            <w:tcW w:w="339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高校美育评价体系建设</w:t>
            </w:r>
          </w:p>
        </w:tc>
        <w:tc>
          <w:tcPr>
            <w:tcW w:w="26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方正仿宋_GBK"/>
                <w:kern w:val="0"/>
                <w:sz w:val="32"/>
                <w:szCs w:val="32"/>
              </w:rPr>
              <w:t>11</w:t>
            </w:r>
          </w:p>
        </w:tc>
      </w:tr>
    </w:tbl>
    <w:p>
      <w:pPr>
        <w:widowControl/>
        <w:spacing w:line="0" w:lineRule="atLeast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afterLines="50"/>
      </w:pPr>
      <w:r>
        <w:rPr>
          <w:rFonts w:hint="eastAsia" w:ascii="仿宋" w:hAnsi="仿宋" w:eastAsia="仿宋" w:cs="方正仿宋_GBK"/>
          <w:b/>
          <w:bCs/>
          <w:kern w:val="0"/>
          <w:sz w:val="32"/>
          <w:szCs w:val="32"/>
        </w:rPr>
        <w:t>说明：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论文代码由以上4位数字和字母构成。例如：安徽省某高校申报高校美育保障机制构建的案例，代码为2210；安徽省某高校申报协同育人机制构建的案例，代码为2207。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- 1 -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680408"/>
    <w:rsid w:val="D76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2020-04-17T17:11:00Z</dcterms:created>
  <dc:creator>shushuya</dc:creator>
  <cp:lastModifiedBy>shushuya</cp:lastModifiedBy>
  <dcterms:modified xsi:type="dcterms:W3CDTF">2020-04-17T17:11:27Z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